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40" w:lineRule="auto"/>
        <w:shd w:val="clear" w:color="auto" w:fill="fae9d7" w:themeFill="accent4" w:themeFillTint="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ВОЗДУШНЫХ Л</w:t>
      </w:r>
      <w:r>
        <w:rPr>
          <w:rFonts w:ascii="Times New Roman" w:hAnsi="Times New Roman" w:cs="Times New Roman"/>
          <w:b/>
          <w:sz w:val="24"/>
          <w:szCs w:val="24"/>
        </w:rPr>
        <w:t xml:space="preserve">ИНИЙ ЭЛЕКТРОПЕРЕДАЧИ 0,4-110 кВ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ПС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ФИЛИАЛА ПАО «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Россети юг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-«РОСТОВЭНЕРГО».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НИМАНИЕ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</w:t>
      </w:r>
      <w:r>
        <w:t xml:space="preserve">, </w:t>
      </w:r>
      <w:r>
        <w:rPr>
          <w:rFonts w:ascii="Times New Roman" w:hAnsi="Times New Roman" w:cs="Times New Roman"/>
        </w:rPr>
        <w:t xml:space="preserve">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 киловольта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метра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1-20 киловольт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10 метров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киловольт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15 метров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киловольт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20 метров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электро и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охранных зонах электрических сетей и вблизи них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ЗАПРЕЩАЕТСЯ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размещать автозаправочные станции и иные хранилища горюче-смазочных материалов;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устраивать всякого рода свалки и складировать корма, удобрения, солому, сено, </w:t>
      </w:r>
      <w:r>
        <w:rPr>
          <w:rFonts w:ascii="Times New Roman" w:hAnsi="Times New Roman" w:cs="Times New Roman"/>
          <w:sz w:val="24"/>
          <w:szCs w:val="24"/>
        </w:rPr>
        <w:t xml:space="preserve">торф, дрова и другие материалы;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разводить огонь на  полях;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сжигать мусор, отходы, солому, камыш, автопокрышки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производить слив горюче-смазочных материалов;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Туристам, рыболовам, охотникам, владельцам дачных участков и остальным лицам, находящимся в охранных зонах ЛЭП, в целях сохранения собственной жизни и здоровья необходимо обращать вним</w:t>
      </w:r>
      <w:r>
        <w:rPr>
          <w:rFonts w:ascii="Times New Roman" w:hAnsi="Times New Roman" w:cs="Times New Roman"/>
          <w:sz w:val="24"/>
          <w:szCs w:val="24"/>
        </w:rPr>
        <w:t xml:space="preserve">ание на предупреждающие знаки и </w:t>
      </w:r>
      <w:r>
        <w:rPr>
          <w:rFonts w:ascii="Times New Roman" w:hAnsi="Times New Roman" w:cs="Times New Roman"/>
          <w:sz w:val="24"/>
          <w:szCs w:val="24"/>
        </w:rPr>
        <w:t xml:space="preserve">плакаты установленные на опорах и рядом с опорами BJI, а также строго соблюдать следующие требования: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залезать на опоры ЛЭП;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накидывать набросы различных предметов на провода ВЛ;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приближаться к оборванному проводу ЛЭП, лежащему на земле или к дереву, на котором повис провод</w:t>
      </w:r>
      <w:r>
        <w:rPr>
          <w:rFonts w:ascii="Times New Roman" w:hAnsi="Times New Roman" w:cs="Times New Roman"/>
          <w:sz w:val="24"/>
          <w:szCs w:val="24"/>
        </w:rPr>
        <w:t xml:space="preserve"> менее чем на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запрещено организовывать различные игры вблизи опор ЛЭП и под проводами: футбол, запуск воздушных змеев и т.д.;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запрещено ловить рыбу вблизи опор ЛЭП и под проводами;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перемещаться под проводами ЛЭП с поднятой удочкой;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запрещено залезать на деревья вблизи опор ЛЭП, особенно если кроны деревьев расположены очень близко к проводам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охранных зон ВЛ</w:t>
      </w:r>
      <w:r>
        <w:rPr>
          <w:rFonts w:ascii="Times New Roman" w:hAnsi="Times New Roman" w:cs="Times New Roman"/>
          <w:sz w:val="24"/>
          <w:szCs w:val="24"/>
        </w:rPr>
        <w:t xml:space="preserve"> и ПС</w:t>
      </w:r>
      <w:r>
        <w:rPr>
          <w:rFonts w:ascii="Times New Roman" w:hAnsi="Times New Roman" w:cs="Times New Roman"/>
          <w:sz w:val="24"/>
          <w:szCs w:val="24"/>
        </w:rPr>
        <w:t xml:space="preserve"> влечет за собой множество аварийных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технологических нарушений с </w:t>
      </w:r>
      <w:r>
        <w:rPr>
          <w:rFonts w:ascii="Times New Roman" w:hAnsi="Times New Roman" w:cs="Times New Roman"/>
          <w:sz w:val="24"/>
          <w:szCs w:val="24"/>
        </w:rPr>
        <w:t xml:space="preserve">длительным перерывом</w:t>
      </w:r>
      <w:r>
        <w:rPr>
          <w:rFonts w:ascii="Times New Roman" w:hAnsi="Times New Roman" w:cs="Times New Roman"/>
          <w:sz w:val="24"/>
          <w:szCs w:val="24"/>
        </w:rPr>
        <w:t xml:space="preserve"> электроснабжения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, а порой и траг</w:t>
      </w:r>
      <w:r>
        <w:rPr>
          <w:rFonts w:ascii="Times New Roman" w:hAnsi="Times New Roman" w:cs="Times New Roman"/>
          <w:sz w:val="24"/>
          <w:szCs w:val="24"/>
        </w:rPr>
        <w:t xml:space="preserve">ических ситуаций со смертельным исходом.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Виновные в нарушении нормальной работы электрических сетей, в соответствии со ст. 215.2 УК РФ, привлекаются к ответственности в установленном законом порядке, вплоть до лишения свободы до 5 лет.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ЛЭП</w:t>
      </w:r>
      <w:r>
        <w:rPr>
          <w:rFonts w:ascii="Times New Roman" w:hAnsi="Times New Roman" w:cs="Times New Roman"/>
          <w:sz w:val="24"/>
          <w:szCs w:val="24"/>
        </w:rPr>
        <w:t xml:space="preserve"> и ПС </w:t>
      </w:r>
      <w:r>
        <w:rPr>
          <w:rFonts w:ascii="Times New Roman" w:hAnsi="Times New Roman" w:cs="Times New Roman"/>
          <w:sz w:val="24"/>
          <w:szCs w:val="24"/>
        </w:rPr>
        <w:t xml:space="preserve">- не только важнейшие составляющие экономики нашего региона, но и источник повышенной опасности!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Публичного Акционерного Общества «</w:t>
      </w:r>
      <w:r>
        <w:rPr>
          <w:rFonts w:ascii="Times New Roman" w:hAnsi="Times New Roman" w:cs="Times New Roman"/>
          <w:sz w:val="24"/>
          <w:szCs w:val="24"/>
        </w:rPr>
        <w:t xml:space="preserve">Россети юг</w:t>
      </w:r>
      <w:r>
        <w:rPr>
          <w:rFonts w:ascii="Times New Roman" w:hAnsi="Times New Roman" w:cs="Times New Roman"/>
          <w:sz w:val="24"/>
          <w:szCs w:val="24"/>
        </w:rPr>
        <w:t xml:space="preserve">» - «Ростовэнерго»</w:t>
      </w:r>
      <w:r>
        <w:rPr>
          <w:rFonts w:ascii="Times New Roman" w:hAnsi="Times New Roman" w:cs="Times New Roman"/>
          <w:sz w:val="24"/>
          <w:szCs w:val="24"/>
        </w:rPr>
        <w:t xml:space="preserve">, эксплуатирующая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линии</w:t>
      </w:r>
      <w:r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0,4-10-35-110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 и ПС</w:t>
      </w:r>
      <w:r>
        <w:rPr>
          <w:rFonts w:ascii="Times New Roman" w:hAnsi="Times New Roman" w:cs="Times New Roman"/>
          <w:sz w:val="24"/>
          <w:szCs w:val="24"/>
        </w:rPr>
        <w:t xml:space="preserve">, предупреждает о необходимости соблюдения Постановления Правительства Российской Федерации от 24 феврал</w:t>
      </w:r>
      <w:r>
        <w:rPr>
          <w:rFonts w:ascii="Times New Roman" w:hAnsi="Times New Roman" w:cs="Times New Roman"/>
          <w:sz w:val="24"/>
          <w:szCs w:val="24"/>
        </w:rPr>
        <w:t xml:space="preserve">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05.06.13г№ 476, от 26.08.2013 № 736).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Орлов</w:t>
      </w:r>
      <w:r>
        <w:rPr>
          <w:rFonts w:ascii="Times New Roman" w:hAnsi="Times New Roman" w:cs="Times New Roman"/>
          <w:sz w:val="24"/>
          <w:szCs w:val="24"/>
        </w:rPr>
        <w:t xml:space="preserve">ского РЭС ПО ЮВЭС</w:t>
      </w:r>
      <w:r>
        <w:rPr>
          <w:rFonts w:ascii="Times New Roman" w:hAnsi="Times New Roman" w:cs="Times New Roman"/>
          <w:sz w:val="24"/>
          <w:szCs w:val="24"/>
        </w:rPr>
        <w:t xml:space="preserve"> филиала ПАО «</w:t>
      </w:r>
      <w:r>
        <w:rPr>
          <w:rFonts w:ascii="Times New Roman" w:hAnsi="Times New Roman" w:cs="Times New Roman"/>
          <w:sz w:val="24"/>
          <w:szCs w:val="24"/>
        </w:rPr>
        <w:t xml:space="preserve">Россети юг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- Ростовэнерго»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8(86375) 36-0-23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ae9d7" w:themeFill="accent4" w:themeFillTint="3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color w:val="ff0000"/>
          <w:sz w:val="24"/>
          <w:szCs w:val="24"/>
        </w:rPr>
      </w:r>
    </w:p>
    <w:p>
      <w:pPr>
        <w:jc w:val="center"/>
        <w:spacing w:after="0" w:line="240" w:lineRule="auto"/>
        <w:shd w:val="clear" w:color="auto" w:fill="fae9d7" w:themeFill="accent4" w:themeFillTint="33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БУДЬТЕ ВНИМАТЕЛЬНЫ И ОСТОРОЖНЫ!</w:t>
      </w:r>
      <w:r>
        <w:rPr>
          <w:b/>
          <w:color w:val="ff0000"/>
          <w:sz w:val="32"/>
          <w:szCs w:val="32"/>
        </w:rPr>
      </w:r>
    </w:p>
    <w:sectPr>
      <w:footnotePr/>
      <w:endnotePr/>
      <w:type w:val="nextPage"/>
      <w:pgSz w:w="11906" w:h="16838" w:orient="portrait"/>
      <w:pgMar w:top="568" w:right="566" w:bottom="142" w:left="567" w:header="708" w:footer="708" w:gutter="0"/>
      <w:pgBorders w:display="allPages" w:offsetFrom="page" w:zOrder="front">
        <w:bottom w:color="ff0000" w:space="24" w:sz="4" w:val="single"/>
        <w:left w:color="ff0000" w:space="24" w:sz="4" w:val="single"/>
        <w:right w:color="ff0000" w:space="24" w:sz="4" w:val="single"/>
        <w:top w:color="ff0000" w:space="24" w:sz="4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9c4e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9c4e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9c4e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9c4e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9c6e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9c6e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a1376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8ba9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e35b3c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1bc88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9b6bf2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d53dd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9c4e1" w:themeFill="accent1" w:themeFillTint="34"/>
    </w:tblPr>
    <w:tblStylePr w:type="band1Horz">
      <w:tcPr>
        <w:shd w:val="clear" w:color="ffffff" w:themeColor="accent1" w:themeTint="75" w:fill="f27bbb" w:themeFill="accent1" w:themeFillTint="75"/>
      </w:tcPr>
    </w:tblStylePr>
    <w:tblStylePr w:type="band1Vert">
      <w:tcPr>
        <w:shd w:val="clear" w:color="ffffff" w:themeColor="accent1" w:themeTint="75" w:fill="f27bb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31166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31166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31166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31166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9d8e2" w:themeFill="accent2" w:themeFillTint="32"/>
    </w:tblPr>
    <w:tblStylePr w:type="band1Horz">
      <w:tcPr>
        <w:shd w:val="clear" w:color="ffffff" w:themeColor="accent2" w:themeTint="75" w:fill="f2a6bd" w:themeFill="accent2" w:themeFillTint="75"/>
      </w:tcPr>
    </w:tblStylePr>
    <w:tblStylePr w:type="band1Vert">
      <w:tcPr>
        <w:shd w:val="clear" w:color="ffffff" w:themeColor="accent2" w:themeTint="75" w:fill="f2a6b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33d6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3d6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33d6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33d6f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9ddd6" w:themeFill="accent3" w:themeFillTint="34"/>
    </w:tblPr>
    <w:tblStylePr w:type="band1Horz">
      <w:tcPr>
        <w:shd w:val="clear" w:color="ffffff" w:themeColor="accent3" w:themeTint="75" w:fill="f2b4a5" w:themeFill="accent3" w:themeFillTint="75"/>
      </w:tcPr>
    </w:tblStylePr>
    <w:tblStylePr w:type="band1Vert">
      <w:tcPr>
        <w:shd w:val="clear" w:color="ffffff" w:themeColor="accent3" w:themeTint="75" w:fill="f2b4a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e45f3c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e45f3c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e45f3c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e45f3c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ae8d7" w:themeFill="accent4" w:themeFillTint="34"/>
    </w:tblPr>
    <w:tblStylePr w:type="band1Horz">
      <w:tcPr>
        <w:shd w:val="clear" w:color="ffffff" w:themeColor="accent4" w:themeTint="75" w:fill="f4cca5" w:themeFill="accent4" w:themeFillTint="75"/>
      </w:tcPr>
    </w:tblStylePr>
    <w:tblStylePr w:type="band1Vert">
      <w:tcPr>
        <w:shd w:val="clear" w:color="ffffff" w:themeColor="accent4" w:themeTint="75" w:fill="f4cca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e9943a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e9943a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e9943a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e9943a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e9dffc" w:themeFill="accent5" w:themeFillTint="34"/>
    </w:tblPr>
    <w:tblStylePr w:type="band1Horz">
      <w:tcPr>
        <w:shd w:val="clear" w:color="ffffff" w:themeColor="accent5" w:themeTint="75" w:fill="d0bbf8" w:themeFill="accent5" w:themeFillTint="75"/>
      </w:tcPr>
    </w:tblStylePr>
    <w:tblStylePr w:type="band1Vert">
      <w:tcPr>
        <w:shd w:val="clear" w:color="ffffff" w:themeColor="accent5" w:themeTint="75" w:fill="d0bbf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9b6bf2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9b6bf2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9b6bf2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9b6bf2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6d7f6" w:themeFill="accent6" w:themeFillTint="34"/>
    </w:tblPr>
    <w:tblStylePr w:type="band1Horz">
      <w:tcPr>
        <w:shd w:val="clear" w:color="ffffff" w:themeColor="accent6" w:themeTint="75" w:fill="eba6ea" w:themeFill="accent6" w:themeFillTint="75"/>
      </w:tcPr>
    </w:tblStylePr>
    <w:tblStylePr w:type="band1Vert">
      <w:tcPr>
        <w:shd w:val="clear" w:color="ffffff" w:themeColor="accent6" w:themeTint="75" w:fill="eba6e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d53dd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d53dd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d53dd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d53dd0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9c4e1" w:themeFill="accent1" w:themeFillTint="34"/>
      </w:tcPr>
    </w:tblStylePr>
    <w:tblStylePr w:type="band1Vert">
      <w:tcPr>
        <w:shd w:val="clear" w:color="ffffff" w:themeColor="accent1" w:themeTint="34" w:fill="f9c4e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ba1170" w:themeColor="accent1" w:themeTint="80" w:themeShade="95"/>
      </w:rPr>
    </w:tblStylePr>
    <w:tblStylePr w:type="firstRow">
      <w:rPr>
        <w:b/>
        <w:color w:val="ba1170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ba1170" w:themeColor="accent1" w:themeTint="80" w:themeShade="95"/>
      </w:rPr>
    </w:tblStylePr>
    <w:tblStylePr w:type="lastRow">
      <w:rPr>
        <w:b/>
        <w:color w:val="ba117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9d8e2" w:themeFill="accent2" w:themeFillTint="32"/>
      </w:tcPr>
    </w:tblStylePr>
    <w:tblStylePr w:type="band1Vert">
      <w:tcPr>
        <w:shd w:val="clear" w:color="ffffff" w:themeColor="accent2" w:themeTint="32" w:fill="f9d8e2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bf1c4e" w:themeColor="accent2" w:themeTint="97" w:themeShade="95"/>
      </w:rPr>
    </w:tblStylePr>
    <w:tblStylePr w:type="firstRow">
      <w:rPr>
        <w:b/>
        <w:color w:val="bf1c4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bf1c4e" w:themeColor="accent2" w:themeTint="97" w:themeShade="95"/>
      </w:rPr>
    </w:tblStylePr>
    <w:tblStylePr w:type="lastRow">
      <w:rPr>
        <w:b/>
        <w:color w:val="bf1c4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9ddd6" w:themeFill="accent3" w:themeFillTint="34"/>
      </w:tcPr>
    </w:tblStylePr>
    <w:tblStylePr w:type="band1Vert">
      <w:tcPr>
        <w:shd w:val="clear" w:color="ffffff" w:themeColor="accent3" w:themeTint="34" w:fill="f9ddd6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922a15" w:themeColor="accent3" w:themeTint="FE" w:themeShade="95"/>
      </w:rPr>
    </w:tblStylePr>
    <w:tblStylePr w:type="firstRow">
      <w:rPr>
        <w:b/>
        <w:color w:val="922a15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922a15" w:themeColor="accent3" w:themeTint="FE" w:themeShade="95"/>
      </w:rPr>
    </w:tblStylePr>
    <w:tblStylePr w:type="lastRow">
      <w:rPr>
        <w:b/>
        <w:color w:val="922a15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ae8d7" w:themeFill="accent4" w:themeFillTint="34"/>
      </w:tcPr>
    </w:tblStylePr>
    <w:tblStylePr w:type="band1Vert">
      <w:tcPr>
        <w:shd w:val="clear" w:color="ffffff" w:themeColor="accent4" w:themeTint="34" w:fill="fae8d7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46c17" w:themeColor="accent4" w:themeTint="9A" w:themeShade="95"/>
      </w:rPr>
    </w:tblStylePr>
    <w:tblStylePr w:type="firstRow">
      <w:rPr>
        <w:b/>
        <w:color w:val="c46c1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46c17" w:themeColor="accent4" w:themeTint="9A" w:themeShade="95"/>
      </w:rPr>
    </w:tblStylePr>
    <w:tblStylePr w:type="lastRow">
      <w:rPr>
        <w:b/>
        <w:color w:val="c46c1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e9dffc" w:themeFill="accent5" w:themeFillTint="34"/>
      </w:tcPr>
    </w:tblStylePr>
    <w:tblStylePr w:type="band1Vert">
      <w:tcPr>
        <w:shd w:val="clear" w:color="ffffff" w:themeColor="accent5" w:themeTint="34" w:fill="e9dff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4c10bb" w:themeColor="accent5" w:themeShade="95"/>
      </w:rPr>
    </w:tblStylePr>
    <w:tblStylePr w:type="firstRow">
      <w:rPr>
        <w:b/>
        <w:color w:val="4c10bb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c10bb" w:themeColor="accent5" w:themeShade="95"/>
      </w:rPr>
    </w:tblStylePr>
    <w:tblStylePr w:type="lastRow">
      <w:rPr>
        <w:b/>
        <w:color w:val="4c10bb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6d7f6" w:themeFill="accent6" w:themeFillTint="34"/>
      </w:tcPr>
    </w:tblStylePr>
    <w:tblStylePr w:type="band1Vert">
      <w:tcPr>
        <w:shd w:val="clear" w:color="ffffff" w:themeColor="accent6" w:themeTint="34" w:fill="f6d7f6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4c10bb" w:themeColor="accent5" w:themeShade="95"/>
      </w:rPr>
    </w:tblStylePr>
    <w:tblStylePr w:type="firstRow">
      <w:rPr>
        <w:b/>
        <w:color w:val="4c10bb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c10bb" w:themeColor="accent5" w:themeShade="95"/>
      </w:rPr>
    </w:tblStylePr>
    <w:tblStylePr w:type="lastRow">
      <w:rPr>
        <w:b/>
        <w:color w:val="4c10bb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ba1170" w:themeColor="accent1" w:themeTint="80" w:themeShade="95"/>
        <w:sz w:val="22"/>
      </w:rPr>
      <w:tcPr>
        <w:shd w:val="clear" w:color="ffffff" w:themeColor="accent1" w:themeTint="34" w:fill="f9c4e1" w:themeFill="accent1" w:themeFillTint="34"/>
      </w:tcPr>
    </w:tblStylePr>
    <w:tblStylePr w:type="band1Vert">
      <w:tcPr>
        <w:shd w:val="clear" w:color="ffffff" w:themeColor="accent1" w:themeTint="34" w:fill="f9c4e1" w:themeFill="accent1" w:themeFillTint="34"/>
      </w:tcPr>
    </w:tblStylePr>
    <w:tblStylePr w:type="band2Horz">
      <w:rPr>
        <w:rFonts w:ascii="Arial" w:hAnsi="Arial"/>
        <w:color w:val="ba1170" w:themeColor="accent1" w:themeTint="80" w:themeShade="95"/>
        <w:sz w:val="22"/>
      </w:rPr>
    </w:tblStylePr>
    <w:tblStylePr w:type="firstCol">
      <w:rPr>
        <w:rFonts w:ascii="Arial" w:hAnsi="Arial"/>
        <w:i/>
        <w:color w:val="ba1170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ba1170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ba1170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a1170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bf1c4e" w:themeColor="accent2" w:themeTint="97" w:themeShade="95"/>
        <w:sz w:val="22"/>
      </w:rPr>
      <w:tcPr>
        <w:shd w:val="clear" w:color="ffffff" w:themeColor="accent2" w:themeTint="32" w:fill="f9d8e2" w:themeFill="accent2" w:themeFillTint="32"/>
      </w:tcPr>
    </w:tblStylePr>
    <w:tblStylePr w:type="band1Vert">
      <w:tcPr>
        <w:shd w:val="clear" w:color="ffffff" w:themeColor="accent2" w:themeTint="32" w:fill="f9d8e2" w:themeFill="accent2" w:themeFillTint="32"/>
      </w:tcPr>
    </w:tblStylePr>
    <w:tblStylePr w:type="band2Horz">
      <w:rPr>
        <w:rFonts w:ascii="Arial" w:hAnsi="Arial"/>
        <w:color w:val="bf1c4e" w:themeColor="accent2" w:themeTint="97" w:themeShade="95"/>
        <w:sz w:val="22"/>
      </w:rPr>
    </w:tblStylePr>
    <w:tblStylePr w:type="firstCol">
      <w:rPr>
        <w:rFonts w:ascii="Arial" w:hAnsi="Arial"/>
        <w:i/>
        <w:color w:val="bf1c4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bf1c4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bf1c4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f1c4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922a15" w:themeColor="accent3" w:themeTint="FE" w:themeShade="95"/>
        <w:sz w:val="22"/>
      </w:rPr>
      <w:tcPr>
        <w:shd w:val="clear" w:color="ffffff" w:themeColor="accent3" w:themeTint="34" w:fill="f9ddd6" w:themeFill="accent3" w:themeFillTint="34"/>
      </w:tcPr>
    </w:tblStylePr>
    <w:tblStylePr w:type="band1Vert">
      <w:tcPr>
        <w:shd w:val="clear" w:color="ffffff" w:themeColor="accent3" w:themeTint="34" w:fill="f9ddd6" w:themeFill="accent3" w:themeFillTint="34"/>
      </w:tcPr>
    </w:tblStylePr>
    <w:tblStylePr w:type="band2Horz">
      <w:rPr>
        <w:rFonts w:ascii="Arial" w:hAnsi="Arial"/>
        <w:color w:val="922a15" w:themeColor="accent3" w:themeTint="FE" w:themeShade="95"/>
        <w:sz w:val="22"/>
      </w:rPr>
    </w:tblStylePr>
    <w:tblStylePr w:type="firstCol">
      <w:rPr>
        <w:rFonts w:ascii="Arial" w:hAnsi="Arial"/>
        <w:i/>
        <w:color w:val="922a15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922a15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922a15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22a1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46c17" w:themeColor="accent4" w:themeTint="9A" w:themeShade="95"/>
        <w:sz w:val="22"/>
      </w:rPr>
      <w:tcPr>
        <w:shd w:val="clear" w:color="ffffff" w:themeColor="accent4" w:themeTint="34" w:fill="fae8d7" w:themeFill="accent4" w:themeFillTint="34"/>
      </w:tcPr>
    </w:tblStylePr>
    <w:tblStylePr w:type="band1Vert">
      <w:tcPr>
        <w:shd w:val="clear" w:color="ffffff" w:themeColor="accent4" w:themeTint="34" w:fill="fae8d7" w:themeFill="accent4" w:themeFillTint="34"/>
      </w:tcPr>
    </w:tblStylePr>
    <w:tblStylePr w:type="band2Horz">
      <w:rPr>
        <w:rFonts w:ascii="Arial" w:hAnsi="Arial"/>
        <w:color w:val="c46c17" w:themeColor="accent4" w:themeTint="9A" w:themeShade="95"/>
        <w:sz w:val="22"/>
      </w:rPr>
    </w:tblStylePr>
    <w:tblStylePr w:type="firstCol">
      <w:rPr>
        <w:rFonts w:ascii="Arial" w:hAnsi="Arial"/>
        <w:i/>
        <w:color w:val="c46c17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46c17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46c17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46c1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c10bb" w:themeColor="accent5" w:themeShade="95"/>
        <w:sz w:val="22"/>
      </w:rPr>
      <w:tcPr>
        <w:shd w:val="clear" w:color="ffffff" w:themeColor="accent5" w:themeTint="34" w:fill="e9dffc" w:themeFill="accent5" w:themeFillTint="34"/>
      </w:tcPr>
    </w:tblStylePr>
    <w:tblStylePr w:type="band1Vert">
      <w:tcPr>
        <w:shd w:val="clear" w:color="ffffff" w:themeColor="accent5" w:themeTint="34" w:fill="e9dffc" w:themeFill="accent5" w:themeFillTint="34"/>
      </w:tcPr>
    </w:tblStylePr>
    <w:tblStylePr w:type="band2Horz">
      <w:rPr>
        <w:rFonts w:ascii="Arial" w:hAnsi="Arial"/>
        <w:color w:val="4c10bb" w:themeColor="accent5" w:themeShade="95"/>
        <w:sz w:val="22"/>
      </w:rPr>
    </w:tblStylePr>
    <w:tblStylePr w:type="firstCol">
      <w:rPr>
        <w:rFonts w:ascii="Arial" w:hAnsi="Arial"/>
        <w:i/>
        <w:color w:val="4c10bb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4c10bb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4c10bb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c10bb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831c82" w:themeColor="accent6" w:themeShade="95"/>
        <w:sz w:val="22"/>
      </w:rPr>
      <w:tcPr>
        <w:shd w:val="clear" w:color="ffffff" w:themeColor="accent6" w:themeTint="34" w:fill="f6d7f6" w:themeFill="accent6" w:themeFillTint="34"/>
      </w:tcPr>
    </w:tblStylePr>
    <w:tblStylePr w:type="band1Vert">
      <w:tcPr>
        <w:shd w:val="clear" w:color="ffffff" w:themeColor="accent6" w:themeTint="34" w:fill="f6d7f6" w:themeFill="accent6" w:themeFillTint="34"/>
      </w:tcPr>
    </w:tblStylePr>
    <w:tblStylePr w:type="band2Horz">
      <w:rPr>
        <w:rFonts w:ascii="Arial" w:hAnsi="Arial"/>
        <w:color w:val="831c82" w:themeColor="accent6" w:themeShade="95"/>
        <w:sz w:val="22"/>
      </w:rPr>
    </w:tblStylePr>
    <w:tblStylePr w:type="firstCol">
      <w:rPr>
        <w:rFonts w:ascii="Arial" w:hAnsi="Arial"/>
        <w:i/>
        <w:color w:val="831c82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831c82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831c82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31c82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8b7da" w:themeFill="accent1" w:themeFillTint="40"/>
      </w:tcPr>
    </w:tblStylePr>
    <w:tblStylePr w:type="band1Vert">
      <w:tcPr>
        <w:shd w:val="clear" w:color="ffffff" w:themeColor="accent1" w:themeTint="40" w:fill="f8b7d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7ceda" w:themeFill="accent2" w:themeFillTint="40"/>
      </w:tcPr>
    </w:tblStylePr>
    <w:tblStylePr w:type="band1Vert">
      <w:tcPr>
        <w:shd w:val="clear" w:color="ffffff" w:themeColor="accent2" w:themeTint="40" w:fill="f7ced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8d5cd" w:themeFill="accent3" w:themeFillTint="40"/>
      </w:tcPr>
    </w:tblStylePr>
    <w:tblStylePr w:type="band1Vert">
      <w:tcPr>
        <w:shd w:val="clear" w:color="ffffff" w:themeColor="accent3" w:themeTint="40" w:fill="f8d5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9e2cc" w:themeFill="accent4" w:themeFillTint="40"/>
      </w:tcPr>
    </w:tblStylePr>
    <w:tblStylePr w:type="band1Vert">
      <w:tcPr>
        <w:shd w:val="clear" w:color="ffffff" w:themeColor="accent4" w:themeTint="40" w:fill="f9e2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6dafb" w:themeFill="accent5" w:themeFillTint="40"/>
      </w:tcPr>
    </w:tblStylePr>
    <w:tblStylePr w:type="band1Vert">
      <w:tcPr>
        <w:shd w:val="clear" w:color="ffffff" w:themeColor="accent5" w:themeTint="40" w:fill="e6dafb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4cdf3" w:themeFill="accent6" w:themeFillTint="40"/>
      </w:tcPr>
    </w:tblStylePr>
    <w:tblStylePr w:type="band1Vert">
      <w:tcPr>
        <w:shd w:val="clear" w:color="ffffff" w:themeColor="accent6" w:themeTint="40" w:fill="f4cdf3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8b7d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8b7d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ced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ced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8d5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8d5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9e2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9e2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6dafb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6dafb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4cdf3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4cdf3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3116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ee8ba9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e9e8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1bc88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c1a5f6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68be4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8b7d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8b7d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31166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7ced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7ced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33d6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8d5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8d5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e45f3c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9e2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9e2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e9943a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6dafb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6dafb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9b6bf2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4cdf3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4cdf3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d53dd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31166" w:themeFill="accent1"/>
    </w:tblPr>
    <w:tblStylePr w:type="band1Horz">
      <w:tcPr>
        <w:shd w:val="clear" w:color="ffffff" w:themeColor="accent1" w:fill="b3116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31166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31166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31166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ee8ba9" w:themeFill="accent2" w:themeFillTint="97"/>
    </w:tblPr>
    <w:tblStylePr w:type="band1Horz">
      <w:tcPr>
        <w:shd w:val="clear" w:color="ffffff" w:themeColor="accent2" w:themeTint="97" w:fill="ee8ba9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ee8ba9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ee8ba9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ee8ba9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e9e8b" w:themeFill="accent3" w:themeFillTint="98"/>
    </w:tblPr>
    <w:tblStylePr w:type="band1Horz">
      <w:tcPr>
        <w:shd w:val="clear" w:color="ffffff" w:themeColor="accent3" w:themeTint="98" w:fill="ee9e8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e9e8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e9e8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e9e8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1bc88" w:themeFill="accent4" w:themeFillTint="9A"/>
    </w:tblPr>
    <w:tblStylePr w:type="band1Horz">
      <w:tcPr>
        <w:shd w:val="clear" w:color="ffffff" w:themeColor="accent4" w:themeTint="9A" w:fill="f1bc88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1bc88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1bc88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1bc88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c1a5f6" w:themeFill="accent5" w:themeFillTint="9A"/>
    </w:tblPr>
    <w:tblStylePr w:type="band1Horz">
      <w:tcPr>
        <w:shd w:val="clear" w:color="ffffff" w:themeColor="accent5" w:themeTint="9A" w:fill="c1a5f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c1a5f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c1a5f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c1a5f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68be4" w:themeFill="accent6" w:themeFillTint="98"/>
    </w:tblPr>
    <w:tblStylePr w:type="band1Horz">
      <w:tcPr>
        <w:shd w:val="clear" w:color="ffffff" w:themeColor="accent6" w:themeTint="98" w:fill="e68be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68be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68be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68be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8b7da" w:themeFill="accent1" w:themeFillTint="40"/>
      </w:tcPr>
    </w:tblStylePr>
    <w:tblStylePr w:type="band1Vert">
      <w:tcPr>
        <w:shd w:val="clear" w:color="ffffff" w:themeColor="accent1" w:themeTint="40" w:fill="f8b7d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70a3c" w:themeColor="accent1" w:themeShade="95"/>
      </w:rPr>
    </w:tblStylePr>
    <w:tblStylePr w:type="firstRow">
      <w:rPr>
        <w:b/>
        <w:color w:val="670a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70a3c" w:themeColor="accent1" w:themeShade="95"/>
      </w:rPr>
    </w:tblStylePr>
    <w:tblStylePr w:type="lastRow">
      <w:rPr>
        <w:b/>
        <w:color w:val="670a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7ceda" w:themeFill="accent2" w:themeFillTint="40"/>
      </w:tcPr>
    </w:tblStylePr>
    <w:tblStylePr w:type="band1Vert">
      <w:tcPr>
        <w:shd w:val="clear" w:color="ffffff" w:themeColor="accent2" w:themeTint="40" w:fill="f7ced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bf1c4e" w:themeColor="accent2" w:themeTint="97" w:themeShade="95"/>
      </w:rPr>
    </w:tblStylePr>
    <w:tblStylePr w:type="firstRow">
      <w:rPr>
        <w:b/>
        <w:color w:val="bf1c4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bf1c4e" w:themeColor="accent2" w:themeTint="97" w:themeShade="95"/>
      </w:rPr>
    </w:tblStylePr>
    <w:tblStylePr w:type="lastRow">
      <w:rPr>
        <w:b/>
        <w:color w:val="bf1c4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8d5cd" w:themeFill="accent3" w:themeFillTint="40"/>
      </w:tcPr>
    </w:tblStylePr>
    <w:tblStylePr w:type="band1Vert">
      <w:tcPr>
        <w:shd w:val="clear" w:color="ffffff" w:themeColor="accent3" w:themeTint="40" w:fill="f8d5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f3b1c" w:themeColor="accent3" w:themeTint="98" w:themeShade="95"/>
      </w:rPr>
    </w:tblStylePr>
    <w:tblStylePr w:type="firstRow">
      <w:rPr>
        <w:b/>
        <w:color w:val="bf3b1c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f3b1c" w:themeColor="accent3" w:themeTint="98" w:themeShade="95"/>
      </w:rPr>
    </w:tblStylePr>
    <w:tblStylePr w:type="lastRow">
      <w:rPr>
        <w:b/>
        <w:color w:val="bf3b1c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9e2cc" w:themeFill="accent4" w:themeFillTint="40"/>
      </w:tcPr>
    </w:tblStylePr>
    <w:tblStylePr w:type="band1Vert">
      <w:tcPr>
        <w:shd w:val="clear" w:color="ffffff" w:themeColor="accent4" w:themeTint="40" w:fill="f9e2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46c17" w:themeColor="accent4" w:themeTint="9A" w:themeShade="95"/>
      </w:rPr>
    </w:tblStylePr>
    <w:tblStylePr w:type="firstRow">
      <w:rPr>
        <w:b/>
        <w:color w:val="c46c1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46c17" w:themeColor="accent4" w:themeTint="9A" w:themeShade="95"/>
      </w:rPr>
    </w:tblStylePr>
    <w:tblStylePr w:type="lastRow">
      <w:rPr>
        <w:b/>
        <w:color w:val="c46c1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6dafb" w:themeFill="accent5" w:themeFillTint="40"/>
      </w:tcPr>
    </w:tblStylePr>
    <w:tblStylePr w:type="band1Vert">
      <w:tcPr>
        <w:shd w:val="clear" w:color="ffffff" w:themeColor="accent5" w:themeTint="40" w:fill="e6dafb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616d9" w:themeColor="accent5" w:themeTint="9A" w:themeShade="95"/>
      </w:rPr>
    </w:tblStylePr>
    <w:tblStylePr w:type="firstRow">
      <w:rPr>
        <w:b/>
        <w:color w:val="5616d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616d9" w:themeColor="accent5" w:themeTint="9A" w:themeShade="95"/>
      </w:rPr>
    </w:tblStylePr>
    <w:tblStylePr w:type="lastRow">
      <w:rPr>
        <w:b/>
        <w:color w:val="5616d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4cdf3" w:themeFill="accent6" w:themeFillTint="40"/>
      </w:tcPr>
    </w:tblStylePr>
    <w:tblStylePr w:type="band1Vert">
      <w:tcPr>
        <w:shd w:val="clear" w:color="ffffff" w:themeColor="accent6" w:themeTint="40" w:fill="f4cdf3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b126af" w:themeColor="accent6" w:themeTint="98" w:themeShade="95"/>
      </w:rPr>
    </w:tblStylePr>
    <w:tblStylePr w:type="firstRow">
      <w:rPr>
        <w:b/>
        <w:color w:val="b126af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b126af" w:themeColor="accent6" w:themeTint="98" w:themeShade="95"/>
      </w:rPr>
    </w:tblStylePr>
    <w:tblStylePr w:type="lastRow">
      <w:rPr>
        <w:b/>
        <w:color w:val="b126af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70a3c" w:themeColor="accent1" w:themeShade="95"/>
        <w:sz w:val="22"/>
      </w:rPr>
      <w:tcPr>
        <w:shd w:val="clear" w:color="ffffff" w:themeColor="accent1" w:themeTint="40" w:fill="f8b7da" w:themeFill="accent1" w:themeFillTint="40"/>
      </w:tcPr>
    </w:tblStylePr>
    <w:tblStylePr w:type="band1Vert">
      <w:tcPr>
        <w:shd w:val="clear" w:color="ffffff" w:themeColor="accent1" w:themeTint="40" w:fill="f8b7da" w:themeFill="accent1" w:themeFillTint="40"/>
      </w:tcPr>
    </w:tblStylePr>
    <w:tblStylePr w:type="band2Horz">
      <w:rPr>
        <w:rFonts w:ascii="Arial" w:hAnsi="Arial"/>
        <w:color w:val="670a3c" w:themeColor="accent1" w:themeShade="95"/>
        <w:sz w:val="22"/>
      </w:rPr>
    </w:tblStylePr>
    <w:tblStylePr w:type="firstCol">
      <w:rPr>
        <w:rFonts w:ascii="Arial" w:hAnsi="Arial"/>
        <w:i/>
        <w:color w:val="670a3c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70a3c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670a3c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70a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70a3c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bf1c4e" w:themeColor="accent2" w:themeTint="97" w:themeShade="95"/>
        <w:sz w:val="22"/>
      </w:rPr>
      <w:tcPr>
        <w:shd w:val="clear" w:color="ffffff" w:themeColor="accent2" w:themeTint="40" w:fill="f7ceda" w:themeFill="accent2" w:themeFillTint="40"/>
      </w:tcPr>
    </w:tblStylePr>
    <w:tblStylePr w:type="band1Vert">
      <w:tcPr>
        <w:shd w:val="clear" w:color="ffffff" w:themeColor="accent2" w:themeTint="40" w:fill="f7ceda" w:themeFill="accent2" w:themeFillTint="40"/>
      </w:tcPr>
    </w:tblStylePr>
    <w:tblStylePr w:type="band2Horz">
      <w:rPr>
        <w:rFonts w:ascii="Arial" w:hAnsi="Arial"/>
        <w:color w:val="bf1c4e" w:themeColor="accent2" w:themeTint="97" w:themeShade="95"/>
        <w:sz w:val="22"/>
      </w:rPr>
    </w:tblStylePr>
    <w:tblStylePr w:type="firstCol">
      <w:rPr>
        <w:rFonts w:ascii="Arial" w:hAnsi="Arial"/>
        <w:i/>
        <w:color w:val="bf1c4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bf1c4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bf1c4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f1c4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f1c4e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f3b1c" w:themeColor="accent3" w:themeTint="98" w:themeShade="95"/>
        <w:sz w:val="22"/>
      </w:rPr>
      <w:tcPr>
        <w:shd w:val="clear" w:color="ffffff" w:themeColor="accent3" w:themeTint="40" w:fill="f8d5cd" w:themeFill="accent3" w:themeFillTint="40"/>
      </w:tcPr>
    </w:tblStylePr>
    <w:tblStylePr w:type="band1Vert">
      <w:tcPr>
        <w:shd w:val="clear" w:color="ffffff" w:themeColor="accent3" w:themeTint="40" w:fill="f8d5cd" w:themeFill="accent3" w:themeFillTint="40"/>
      </w:tcPr>
    </w:tblStylePr>
    <w:tblStylePr w:type="band2Horz">
      <w:rPr>
        <w:rFonts w:ascii="Arial" w:hAnsi="Arial"/>
        <w:color w:val="bf3b1c" w:themeColor="accent3" w:themeTint="98" w:themeShade="95"/>
        <w:sz w:val="22"/>
      </w:rPr>
    </w:tblStylePr>
    <w:tblStylePr w:type="firstCol">
      <w:rPr>
        <w:rFonts w:ascii="Arial" w:hAnsi="Arial"/>
        <w:i/>
        <w:color w:val="bf3b1c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f3b1c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bf3b1c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f3b1c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f3b1c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46c17" w:themeColor="accent4" w:themeTint="9A" w:themeShade="95"/>
        <w:sz w:val="22"/>
      </w:rPr>
      <w:tcPr>
        <w:shd w:val="clear" w:color="ffffff" w:themeColor="accent4" w:themeTint="40" w:fill="f9e2cc" w:themeFill="accent4" w:themeFillTint="40"/>
      </w:tcPr>
    </w:tblStylePr>
    <w:tblStylePr w:type="band1Vert">
      <w:tcPr>
        <w:shd w:val="clear" w:color="ffffff" w:themeColor="accent4" w:themeTint="40" w:fill="f9e2cc" w:themeFill="accent4" w:themeFillTint="40"/>
      </w:tcPr>
    </w:tblStylePr>
    <w:tblStylePr w:type="band2Horz">
      <w:rPr>
        <w:rFonts w:ascii="Arial" w:hAnsi="Arial"/>
        <w:color w:val="c46c17" w:themeColor="accent4" w:themeTint="9A" w:themeShade="95"/>
        <w:sz w:val="22"/>
      </w:rPr>
    </w:tblStylePr>
    <w:tblStylePr w:type="firstCol">
      <w:rPr>
        <w:rFonts w:ascii="Arial" w:hAnsi="Arial"/>
        <w:i/>
        <w:color w:val="c46c17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46c17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46c17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46c1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46c17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5616d9" w:themeColor="accent5" w:themeTint="9A" w:themeShade="95"/>
        <w:sz w:val="22"/>
      </w:rPr>
      <w:tcPr>
        <w:shd w:val="clear" w:color="ffffff" w:themeColor="accent5" w:themeTint="40" w:fill="e6dafb" w:themeFill="accent5" w:themeFillTint="40"/>
      </w:tcPr>
    </w:tblStylePr>
    <w:tblStylePr w:type="band1Vert">
      <w:tcPr>
        <w:shd w:val="clear" w:color="ffffff" w:themeColor="accent5" w:themeTint="40" w:fill="e6dafb" w:themeFill="accent5" w:themeFillTint="40"/>
      </w:tcPr>
    </w:tblStylePr>
    <w:tblStylePr w:type="band2Horz">
      <w:rPr>
        <w:rFonts w:ascii="Arial" w:hAnsi="Arial"/>
        <w:color w:val="5616d9" w:themeColor="accent5" w:themeTint="9A" w:themeShade="95"/>
        <w:sz w:val="22"/>
      </w:rPr>
    </w:tblStylePr>
    <w:tblStylePr w:type="firstCol">
      <w:rPr>
        <w:rFonts w:ascii="Arial" w:hAnsi="Arial"/>
        <w:i/>
        <w:color w:val="5616d9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616d9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616d9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616d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616d9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b126af" w:themeColor="accent6" w:themeTint="98" w:themeShade="95"/>
        <w:sz w:val="22"/>
      </w:rPr>
      <w:tcPr>
        <w:shd w:val="clear" w:color="ffffff" w:themeColor="accent6" w:themeTint="40" w:fill="f4cdf3" w:themeFill="accent6" w:themeFillTint="40"/>
      </w:tcPr>
    </w:tblStylePr>
    <w:tblStylePr w:type="band1Vert">
      <w:tcPr>
        <w:shd w:val="clear" w:color="ffffff" w:themeColor="accent6" w:themeTint="40" w:fill="f4cdf3" w:themeFill="accent6" w:themeFillTint="40"/>
      </w:tcPr>
    </w:tblStylePr>
    <w:tblStylePr w:type="band2Horz">
      <w:rPr>
        <w:rFonts w:ascii="Arial" w:hAnsi="Arial"/>
        <w:color w:val="b126af" w:themeColor="accent6" w:themeTint="98" w:themeShade="95"/>
        <w:sz w:val="22"/>
      </w:rPr>
    </w:tblStylePr>
    <w:tblStylePr w:type="firstCol">
      <w:rPr>
        <w:rFonts w:ascii="Arial" w:hAnsi="Arial"/>
        <w:i/>
        <w:color w:val="b126af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b126af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b126af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126af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126af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6a5d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6a5d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6a5d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6a5d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a1376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9d8e2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ee8ba9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9ddd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e35b3c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ae8d7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1bc88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e9dff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9b6bf2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6d7f6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d53dd0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Ион (конференц-зал)">
  <a:themeElements>
    <a:clrScheme name="Ион (конференц-зал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Ион (конференц-зал)">
      <a:majorFont>
        <a:latin typeface="Century Gothic"/>
        <a:ea typeface="Arial"/>
        <a:cs typeface="Arial"/>
      </a:majorFont>
      <a:minorFont>
        <a:latin typeface="Century Gothic"/>
        <a:ea typeface="Arial"/>
        <a:cs typeface="Arial"/>
      </a:minorFont>
    </a:fontScheme>
    <a:fmtScheme name="Ион (конференц-зал)">
      <a:fillStyleLst>
        <a:solidFill>
          <a:schemeClr val="phClr"/>
        </a:solidFill>
        <a:gradFill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/>
        </a:gradFill>
        <a:blipFill>
          <a:blip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MRSK-YUGA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Татьяна Михайловна</dc:creator>
  <cp:keywords/>
  <dc:description/>
  <cp:lastModifiedBy>lazarevaiv</cp:lastModifiedBy>
  <cp:revision>3</cp:revision>
  <dcterms:created xsi:type="dcterms:W3CDTF">2020-07-14T05:11:00Z</dcterms:created>
  <dcterms:modified xsi:type="dcterms:W3CDTF">2025-08-27T06:23:05Z</dcterms:modified>
</cp:coreProperties>
</file>